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0" w:rsidRDefault="00110680" w:rsidP="0011068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110680" w:rsidRDefault="00110680" w:rsidP="00110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110680" w:rsidRDefault="00110680" w:rsidP="00110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110680" w:rsidRDefault="00110680" w:rsidP="00110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110680" w:rsidRPr="00E74B3E" w:rsidRDefault="00110680" w:rsidP="0011068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Ionic mobility</w:t>
      </w:r>
    </w:p>
    <w:p w:rsidR="00110680" w:rsidRPr="00E74B3E" w:rsidRDefault="00110680" w:rsidP="00110680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E74B3E">
        <w:rPr>
          <w:rFonts w:ascii="Arial" w:hAnsi="Arial" w:cs="Arial"/>
          <w:color w:val="222222"/>
          <w:sz w:val="24"/>
          <w:shd w:val="clear" w:color="auto" w:fill="FFFFFF"/>
        </w:rPr>
        <w:t>The </w:t>
      </w:r>
      <w:r w:rsidRPr="00E74B3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ionic mobility</w:t>
      </w:r>
      <w:r w:rsidRPr="00E74B3E">
        <w:rPr>
          <w:rFonts w:ascii="Arial" w:hAnsi="Arial" w:cs="Arial"/>
          <w:color w:val="222222"/>
          <w:sz w:val="24"/>
          <w:shd w:val="clear" w:color="auto" w:fill="FFFFFF"/>
        </w:rPr>
        <w:t> (μ) is defined as the velocity attained by an </w:t>
      </w:r>
      <w:r w:rsidRPr="00E74B3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ion</w:t>
      </w:r>
      <w:r w:rsidRPr="00E74B3E">
        <w:rPr>
          <w:rFonts w:ascii="Arial" w:hAnsi="Arial" w:cs="Arial"/>
          <w:color w:val="222222"/>
          <w:sz w:val="24"/>
          <w:shd w:val="clear" w:color="auto" w:fill="FFFFFF"/>
        </w:rPr>
        <w:t> moving through a gas under unit electric field. </w:t>
      </w:r>
      <w:r w:rsidRPr="00E74B3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Ionic mobility</w:t>
      </w:r>
      <w:r w:rsidRPr="00E74B3E">
        <w:rPr>
          <w:rFonts w:ascii="Arial" w:hAnsi="Arial" w:cs="Arial"/>
          <w:color w:val="222222"/>
          <w:sz w:val="24"/>
          <w:shd w:val="clear" w:color="auto" w:fill="FFFFFF"/>
        </w:rPr>
        <w:t> or </w:t>
      </w:r>
      <w:r w:rsidRPr="00E74B3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Ionic</w:t>
      </w:r>
      <w:r w:rsidRPr="00E74B3E">
        <w:rPr>
          <w:rFonts w:ascii="Arial" w:hAnsi="Arial" w:cs="Arial"/>
          <w:color w:val="222222"/>
          <w:sz w:val="24"/>
          <w:shd w:val="clear" w:color="auto" w:fill="FFFFFF"/>
        </w:rPr>
        <w:t> conductance is the conductivity of a solution containing 1 g </w:t>
      </w:r>
      <w:r w:rsidRPr="00E74B3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ion</w:t>
      </w:r>
      <w:r w:rsidRPr="00E74B3E">
        <w:rPr>
          <w:rFonts w:ascii="Arial" w:hAnsi="Arial" w:cs="Arial"/>
          <w:color w:val="222222"/>
          <w:sz w:val="24"/>
          <w:shd w:val="clear" w:color="auto" w:fill="FFFFFF"/>
        </w:rPr>
        <w:t>, at infinite dilution, when two sufficiently large electrodes are placed 1 cm apart.</w:t>
      </w:r>
    </w:p>
    <w:p w:rsidR="00110680" w:rsidRDefault="00110680" w:rsidP="00110680">
      <w:pPr>
        <w:spacing w:after="0" w:line="240" w:lineRule="auto"/>
        <w:rPr>
          <w:b/>
          <w:bCs/>
          <w:sz w:val="28"/>
          <w:szCs w:val="28"/>
        </w:rPr>
      </w:pPr>
    </w:p>
    <w:p w:rsidR="00110680" w:rsidRDefault="00110680" w:rsidP="00110680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Kohlrauch’s</w:t>
      </w:r>
      <w:proofErr w:type="spellEnd"/>
      <w:r>
        <w:rPr>
          <w:b/>
          <w:bCs/>
          <w:sz w:val="28"/>
          <w:szCs w:val="28"/>
        </w:rPr>
        <w:t xml:space="preserve"> Law </w:t>
      </w:r>
    </w:p>
    <w:p w:rsidR="00110680" w:rsidRDefault="00110680" w:rsidP="00110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molar conductivity of an electrolyte at infinite dilution is the sum of the ionic conductivities of the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 xml:space="preserve"> and the anion each multiplied with </w:t>
      </w:r>
      <w:proofErr w:type="gramStart"/>
      <w:r>
        <w:rPr>
          <w:sz w:val="28"/>
          <w:szCs w:val="28"/>
        </w:rPr>
        <w:t>the  number</w:t>
      </w:r>
      <w:proofErr w:type="gramEnd"/>
      <w:r>
        <w:rPr>
          <w:sz w:val="28"/>
          <w:szCs w:val="28"/>
        </w:rPr>
        <w:t xml:space="preserve"> of ions present in one formula of the electrolyte. Mathematically,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λ∞= λ</m:t>
        </m:r>
      </m:oMath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>-</w:t>
      </w:r>
    </w:p>
    <w:p w:rsidR="00110680" w:rsidRDefault="00110680" w:rsidP="00110680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λ∞</m:t>
        </m:r>
      </m:oMath>
      <w:r>
        <w:rPr>
          <w:rFonts w:eastAsiaTheme="minorEastAsia"/>
          <w:sz w:val="28"/>
          <w:szCs w:val="28"/>
        </w:rPr>
        <w:t xml:space="preserve"> is the molar conductivity of the electrolyte at infinity dilution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are the molar conductivities of the </w:t>
      </w:r>
      <w:proofErr w:type="spellStart"/>
      <w:r>
        <w:rPr>
          <w:rFonts w:eastAsiaTheme="minorEastAsia"/>
          <w:sz w:val="28"/>
          <w:szCs w:val="28"/>
        </w:rPr>
        <w:t>cation</w:t>
      </w:r>
      <w:proofErr w:type="spellEnd"/>
      <w:r>
        <w:rPr>
          <w:rFonts w:eastAsiaTheme="minorEastAsia"/>
          <w:sz w:val="28"/>
          <w:szCs w:val="28"/>
        </w:rPr>
        <w:t xml:space="preserve"> and the anion respectively at infinite dilution.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λ∞ for CH</m:t>
        </m:r>
      </m:oMath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COOH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</w:rPr>
        <w:t>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COO</w:t>
      </w:r>
      <w:r>
        <w:rPr>
          <w:rFonts w:eastAsiaTheme="minorEastAsia"/>
          <w:sz w:val="28"/>
          <w:szCs w:val="28"/>
          <w:vertAlign w:val="superscript"/>
        </w:rPr>
        <w:t xml:space="preserve">-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perscript"/>
        </w:rPr>
        <w:t>+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Weak electrolytes are not completely dissociation even at high dilution and as such their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values cannot be measured by specific conductivity </w:t>
      </w:r>
      <w:proofErr w:type="spellStart"/>
      <w:r>
        <w:rPr>
          <w:rFonts w:eastAsiaTheme="minorEastAsia"/>
          <w:sz w:val="28"/>
          <w:szCs w:val="28"/>
        </w:rPr>
        <w:t>measurements.Moreover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of weak electrolytes can be measured indirectly by applying </w:t>
      </w:r>
      <w:proofErr w:type="spellStart"/>
      <w:r>
        <w:rPr>
          <w:rFonts w:eastAsiaTheme="minorEastAsia"/>
          <w:sz w:val="28"/>
          <w:szCs w:val="28"/>
        </w:rPr>
        <w:t>Kohlrausch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law .</w:t>
      </w:r>
      <w:proofErr w:type="gramEnd"/>
      <w:r>
        <w:rPr>
          <w:rFonts w:eastAsiaTheme="minorEastAsia"/>
          <w:sz w:val="28"/>
          <w:szCs w:val="28"/>
        </w:rPr>
        <w:t xml:space="preserve"> If we have to </w:t>
      </w:r>
      <w:proofErr w:type="gramStart"/>
      <w:r>
        <w:rPr>
          <w:rFonts w:eastAsiaTheme="minorEastAsia"/>
          <w:sz w:val="28"/>
          <w:szCs w:val="28"/>
        </w:rPr>
        <w:t xml:space="preserve">calculation  </w:t>
      </w:r>
      <m:oMath>
        <w:proofErr w:type="gramEnd"/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for 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COOH then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values of </w:t>
      </w:r>
      <w:proofErr w:type="spellStart"/>
      <w:r>
        <w:rPr>
          <w:rFonts w:eastAsiaTheme="minorEastAsia"/>
          <w:sz w:val="28"/>
          <w:szCs w:val="28"/>
        </w:rPr>
        <w:t>HCl,NaCl</w:t>
      </w:r>
      <w:proofErr w:type="spellEnd"/>
      <w:r>
        <w:rPr>
          <w:rFonts w:eastAsiaTheme="minorEastAsia"/>
          <w:sz w:val="28"/>
          <w:szCs w:val="28"/>
        </w:rPr>
        <w:t xml:space="preserve"> and 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COOH.All strong electrolytes are measured experimentally. 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Let,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proofErr w:type="spellStart"/>
      <w:r>
        <w:rPr>
          <w:rFonts w:eastAsiaTheme="minorEastAsia"/>
          <w:sz w:val="28"/>
          <w:szCs w:val="28"/>
        </w:rPr>
        <w:t>HCl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Cl</w:t>
      </w:r>
      <w:proofErr w:type="spellEnd"/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-----------------[</w:t>
      </w:r>
      <w:proofErr w:type="gramEnd"/>
      <w:r>
        <w:rPr>
          <w:rFonts w:eastAsiaTheme="minorEastAsia"/>
          <w:sz w:val="28"/>
          <w:szCs w:val="28"/>
        </w:rPr>
        <w:t>1]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proofErr w:type="spellStart"/>
      <w:r>
        <w:rPr>
          <w:rFonts w:eastAsiaTheme="minorEastAsia"/>
          <w:sz w:val="28"/>
          <w:szCs w:val="28"/>
        </w:rPr>
        <w:t>NaCl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Na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Cl</w:t>
      </w:r>
      <w:proofErr w:type="spellEnd"/>
      <w:proofErr w:type="gramStart"/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 ------------------</w:t>
      </w:r>
      <w:proofErr w:type="gramEnd"/>
      <w:r>
        <w:rPr>
          <w:rFonts w:eastAsiaTheme="minorEastAsia"/>
          <w:sz w:val="28"/>
          <w:szCs w:val="28"/>
        </w:rPr>
        <w:t>[2]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r>
        <w:rPr>
          <w:rFonts w:eastAsiaTheme="minorEastAsia"/>
          <w:sz w:val="28"/>
          <w:szCs w:val="28"/>
        </w:rPr>
        <w:t>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COONa = </w:t>
      </w:r>
      <m:oMath>
        <m:r>
          <w:rPr>
            <w:rFonts w:ascii="Cambria Math" w:hAnsi="Cambria Math"/>
            <w:sz w:val="28"/>
            <w:szCs w:val="28"/>
          </w:rPr>
          <m:t>λ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CH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3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COO</m:t>
        </m:r>
      </m:oMath>
      <w:r>
        <w:rPr>
          <w:rFonts w:eastAsiaTheme="minorEastAsia"/>
          <w:sz w:val="28"/>
          <w:szCs w:val="28"/>
          <w:vertAlign w:val="superscript"/>
        </w:rPr>
        <w:t xml:space="preserve">  -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Na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-----[</w:t>
      </w:r>
      <w:proofErr w:type="gramEnd"/>
      <w:r>
        <w:rPr>
          <w:rFonts w:eastAsiaTheme="minorEastAsia"/>
          <w:sz w:val="28"/>
          <w:szCs w:val="28"/>
        </w:rPr>
        <w:t xml:space="preserve">3] </w:t>
      </w:r>
    </w:p>
    <w:p w:rsidR="00110680" w:rsidRDefault="00110680" w:rsidP="0011068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, </w:t>
      </w:r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proofErr w:type="gramStart"/>
      <w:r>
        <w:rPr>
          <w:rFonts w:eastAsiaTheme="minorEastAsia"/>
          <w:sz w:val="28"/>
          <w:szCs w:val="28"/>
        </w:rPr>
        <w:t>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COOH  =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proofErr w:type="spellStart"/>
      <w:r>
        <w:rPr>
          <w:rFonts w:eastAsiaTheme="minorEastAsia"/>
          <w:sz w:val="28"/>
          <w:szCs w:val="28"/>
        </w:rPr>
        <w:t>HCl</w:t>
      </w:r>
      <w:proofErr w:type="spellEnd"/>
      <w:r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r>
        <w:rPr>
          <w:rFonts w:eastAsiaTheme="minorEastAsia"/>
          <w:sz w:val="28"/>
          <w:szCs w:val="28"/>
        </w:rPr>
        <w:t>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COONa -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bscript"/>
        </w:rPr>
        <w:t xml:space="preserve">0 </w:t>
      </w:r>
      <w:proofErr w:type="spellStart"/>
      <w:r>
        <w:rPr>
          <w:rFonts w:eastAsiaTheme="minorEastAsia"/>
          <w:sz w:val="28"/>
          <w:szCs w:val="28"/>
        </w:rPr>
        <w:t>NaCl</w:t>
      </w:r>
      <w:proofErr w:type="spellEnd"/>
    </w:p>
    <w:p w:rsidR="00110680" w:rsidRDefault="00110680" w:rsidP="00110680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=[</w:t>
      </w:r>
      <m:oMath>
        <m:r>
          <w:rPr>
            <w:rFonts w:ascii="Cambria Math" w:hAnsi="Cambria Math"/>
            <w:sz w:val="28"/>
            <w:szCs w:val="28"/>
          </w:rPr>
          <m:t xml:space="preserve"> 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Cl</w:t>
      </w:r>
      <w:proofErr w:type="spellEnd"/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] + [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Na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Cl</w:t>
      </w:r>
      <w:proofErr w:type="spellEnd"/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] – [</w:t>
      </w:r>
      <m:oMath>
        <m:r>
          <w:rPr>
            <w:rFonts w:ascii="Cambria Math" w:hAnsi="Cambria Math"/>
            <w:sz w:val="28"/>
            <w:szCs w:val="28"/>
          </w:rPr>
          <m:t>λ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CH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3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COO</m:t>
        </m:r>
      </m:oMath>
      <w:r>
        <w:rPr>
          <w:rFonts w:eastAsiaTheme="minorEastAsia"/>
          <w:sz w:val="28"/>
          <w:szCs w:val="28"/>
          <w:vertAlign w:val="superscript"/>
        </w:rPr>
        <w:t xml:space="preserve">  - </w:t>
      </w: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Na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 xml:space="preserve"> ]</w:t>
      </w:r>
    </w:p>
    <w:p w:rsidR="00110680" w:rsidRDefault="00110680" w:rsidP="00110680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=  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perscript"/>
        </w:rPr>
        <w:t xml:space="preserve">+ </w:t>
      </w:r>
      <w:r>
        <w:rPr>
          <w:rFonts w:eastAsiaTheme="minorEastAsia"/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λ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CH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3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COO</m:t>
        </m:r>
      </m:oMath>
      <w:r>
        <w:rPr>
          <w:rFonts w:eastAsiaTheme="minorEastAsia"/>
          <w:sz w:val="28"/>
          <w:szCs w:val="28"/>
          <w:vertAlign w:val="superscript"/>
        </w:rPr>
        <w:t xml:space="preserve">  -</w:t>
      </w:r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</w:rPr>
        <w:t xml:space="preserve">Applications of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</w:rPr>
        <w:t>Kohlrausch's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</w:rPr>
        <w:t xml:space="preserve"> Law</w:t>
      </w:r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Some typical applications of the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Kohlrausch's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law square measure delineate below,</w:t>
      </w:r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lastRenderedPageBreak/>
        <w:t>(</w:t>
      </w:r>
      <w:proofErr w:type="spell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i</w:t>
      </w:r>
      <w:proofErr w:type="spellEnd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)</w:t>
      </w: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ab/>
        <w:t xml:space="preserve">Determination of for weak </w:t>
      </w:r>
      <w:proofErr w:type="gram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solutions :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The molar physical phenomenon of a weak electrolyte at infinite dilution can't be determined by extrapolation technique. However</w:t>
      </w:r>
      <w:proofErr w:type="gramStart"/>
      <w:r>
        <w:rPr>
          <w:rFonts w:eastAsia="Times New Roman" w:cstheme="minorHAnsi"/>
          <w:color w:val="333333"/>
          <w:sz w:val="28"/>
          <w:szCs w:val="28"/>
        </w:rPr>
        <w:t>,  values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for weak electrolytes is determined by victimization the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Kohlrausch's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equation.</w:t>
      </w:r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(ii)</w:t>
      </w: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ab/>
        <w:t xml:space="preserve"> Determination of the degree of </w:t>
      </w:r>
      <w:proofErr w:type="spell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ionisation</w:t>
      </w:r>
      <w:proofErr w:type="spellEnd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 xml:space="preserve"> of a weak solution:</w:t>
      </w:r>
      <w:r>
        <w:rPr>
          <w:rFonts w:eastAsia="Times New Roman" w:cstheme="minorHAnsi"/>
          <w:color w:val="333333"/>
          <w:sz w:val="28"/>
          <w:szCs w:val="28"/>
        </w:rPr>
        <w:t xml:space="preserve"> The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Kohlrausch's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law is used for decisive the degree of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ionisation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of a weak electrolyte at any concentration. </w:t>
      </w:r>
      <w:proofErr w:type="gramStart"/>
      <w:r>
        <w:rPr>
          <w:rFonts w:eastAsia="Times New Roman" w:cstheme="minorHAnsi"/>
          <w:color w:val="333333"/>
          <w:sz w:val="28"/>
          <w:szCs w:val="28"/>
        </w:rPr>
        <w:t>If is that the molar physical phenomenon of a weak solution at any concentration C and, is that the molar physical phenomenon of a solution at infinite dilution.</w:t>
      </w:r>
      <w:proofErr w:type="gramEnd"/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(iii)</w:t>
      </w: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ab/>
        <w:t xml:space="preserve"> Determination of the </w:t>
      </w:r>
      <w:proofErr w:type="spell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ionisation</w:t>
      </w:r>
      <w:proofErr w:type="spellEnd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 xml:space="preserve"> constant of a weak </w:t>
      </w:r>
      <w:proofErr w:type="gram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solution :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Weak electrolytes in binary compound solutions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ionise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to a really little extent. The extent of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ionisation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is delineate in terms of the degree of </w:t>
      </w:r>
      <w:proofErr w:type="spellStart"/>
      <w:proofErr w:type="gramStart"/>
      <w:r>
        <w:rPr>
          <w:rFonts w:eastAsia="Times New Roman" w:cstheme="minorHAnsi"/>
          <w:color w:val="333333"/>
          <w:sz w:val="28"/>
          <w:szCs w:val="28"/>
        </w:rPr>
        <w:t>ionisation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 In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answer, the ions square measure in dynamic equilibrium with the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unionised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molecules. Such Associate in </w:t>
      </w:r>
      <w:proofErr w:type="gramStart"/>
      <w:r>
        <w:rPr>
          <w:rFonts w:eastAsia="Times New Roman" w:cstheme="minorHAnsi"/>
          <w:color w:val="333333"/>
          <w:sz w:val="28"/>
          <w:szCs w:val="28"/>
        </w:rPr>
        <w:t>Nursing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equilibrium is delineate by a relentless known as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ionisation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constant</w:t>
      </w:r>
    </w:p>
    <w:p w:rsidR="00110680" w:rsidRDefault="00110680" w:rsidP="00110680">
      <w:pPr>
        <w:shd w:val="clear" w:color="auto" w:fill="FFFFFF"/>
        <w:spacing w:before="150"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 xml:space="preserve"> (iv) Determination of the solubility of a </w:t>
      </w:r>
      <w:proofErr w:type="spell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meagrely</w:t>
      </w:r>
      <w:proofErr w:type="spellEnd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 xml:space="preserve"> soluble </w:t>
      </w:r>
      <w:proofErr w:type="gramStart"/>
      <w:r w:rsidRPr="004E13A2">
        <w:rPr>
          <w:rFonts w:eastAsia="Times New Roman" w:cstheme="minorHAnsi"/>
          <w:b/>
          <w:bCs/>
          <w:color w:val="333333"/>
          <w:sz w:val="28"/>
          <w:szCs w:val="28"/>
        </w:rPr>
        <w:t>salt :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The solubility of a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meagrely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soluble salt in a very solvent is kind of low. Even a saturated answer of such a salt is therefore dilute that it is assumed to be at infinite dilution.</w:t>
      </w:r>
    </w:p>
    <w:p w:rsidR="00110680" w:rsidRDefault="00110680" w:rsidP="00110680">
      <w:pPr>
        <w:spacing w:after="0" w:line="240" w:lineRule="auto"/>
        <w:rPr>
          <w:b/>
          <w:bCs/>
          <w:sz w:val="28"/>
          <w:szCs w:val="28"/>
        </w:rPr>
      </w:pPr>
    </w:p>
    <w:p w:rsidR="003C12B0" w:rsidRDefault="003C12B0"/>
    <w:sectPr w:rsidR="003C12B0" w:rsidSect="003C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680"/>
    <w:rsid w:val="00110680"/>
    <w:rsid w:val="003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by adguard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2020-07-13T06:03:00Z</dcterms:created>
  <dcterms:modified xsi:type="dcterms:W3CDTF">2020-07-13T06:04:00Z</dcterms:modified>
</cp:coreProperties>
</file>